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8D3" w:rsidRPr="000548D3" w:rsidRDefault="000548D3" w:rsidP="000548D3">
      <w:pPr>
        <w:pStyle w:val="FootnoteText"/>
        <w:rPr>
          <w:rFonts w:ascii="Arial" w:hAnsi="Arial" w:cs="Arial"/>
          <w:b/>
          <w:bCs/>
          <w:noProof/>
          <w:sz w:val="24"/>
          <w:szCs w:val="24"/>
        </w:rPr>
      </w:pPr>
      <w:bookmarkStart w:id="0" w:name="OLE_LINK1"/>
      <w:bookmarkStart w:id="1" w:name="OLE_LINK2"/>
      <w:r w:rsidRPr="000548D3">
        <w:rPr>
          <w:rFonts w:ascii="Arial" w:hAnsi="Arial" w:cs="Arial"/>
          <w:b/>
          <w:bCs/>
          <w:noProof/>
          <w:sz w:val="24"/>
          <w:szCs w:val="24"/>
        </w:rPr>
        <w:t>3GPP TSG RAN Meeting #71</w:t>
      </w:r>
      <w:r w:rsidRPr="000548D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0548D3">
        <w:rPr>
          <w:rFonts w:ascii="Arial" w:hAnsi="Arial" w:cs="Arial"/>
          <w:b/>
          <w:bCs/>
          <w:noProof/>
          <w:sz w:val="24"/>
          <w:szCs w:val="24"/>
        </w:rPr>
        <w:t>RP-</w:t>
      </w:r>
      <w:r w:rsidRPr="00DF5DE8">
        <w:rPr>
          <w:rFonts w:ascii="Arial" w:hAnsi="Arial" w:cs="Arial"/>
          <w:b/>
          <w:bCs/>
          <w:noProof/>
          <w:sz w:val="24"/>
          <w:szCs w:val="24"/>
        </w:rPr>
        <w:t>16</w:t>
      </w:r>
      <w:r w:rsidR="00DF5DE8" w:rsidRPr="00DF5DE8">
        <w:rPr>
          <w:rFonts w:ascii="Arial" w:hAnsi="Arial" w:cs="Arial"/>
          <w:b/>
          <w:bCs/>
          <w:noProof/>
          <w:sz w:val="24"/>
          <w:szCs w:val="24"/>
        </w:rPr>
        <w:t>0501</w:t>
      </w:r>
    </w:p>
    <w:p w:rsidR="00005DBD" w:rsidRDefault="000548D3" w:rsidP="000548D3">
      <w:pPr>
        <w:pStyle w:val="FootnoteText"/>
        <w:rPr>
          <w:rFonts w:ascii="Arial" w:hAnsi="Arial" w:cs="Arial"/>
          <w:b/>
          <w:bCs/>
          <w:noProof/>
          <w:sz w:val="24"/>
          <w:szCs w:val="24"/>
        </w:rPr>
      </w:pPr>
      <w:r w:rsidRPr="000548D3">
        <w:rPr>
          <w:rFonts w:ascii="Arial" w:hAnsi="Arial" w:cs="Arial"/>
          <w:b/>
          <w:bCs/>
          <w:noProof/>
          <w:sz w:val="24"/>
          <w:szCs w:val="24"/>
        </w:rPr>
        <w:t>Gothenburg, Sweden, March 7 - 10, 2016</w:t>
      </w:r>
    </w:p>
    <w:p w:rsidR="000548D3" w:rsidRPr="00226CA3" w:rsidRDefault="000548D3" w:rsidP="000548D3">
      <w:pPr>
        <w:pStyle w:val="FootnoteText"/>
        <w:rPr>
          <w:lang w:val="en-US"/>
        </w:rPr>
      </w:pPr>
    </w:p>
    <w:p w:rsidR="00005DBD" w:rsidRPr="00226CA3" w:rsidRDefault="00005DBD" w:rsidP="00005DBD">
      <w:pPr>
        <w:pStyle w:val="TdocHeader2"/>
        <w:jc w:val="left"/>
        <w:rPr>
          <w:sz w:val="20"/>
          <w:lang w:val="en-US"/>
        </w:rPr>
      </w:pPr>
      <w:r w:rsidRPr="00226CA3">
        <w:rPr>
          <w:sz w:val="20"/>
          <w:lang w:val="en-US"/>
        </w:rPr>
        <w:t xml:space="preserve">Source: </w:t>
      </w:r>
      <w:r w:rsidRPr="00226CA3">
        <w:rPr>
          <w:sz w:val="20"/>
          <w:lang w:val="en-US"/>
        </w:rPr>
        <w:tab/>
        <w:t>Ericsson</w:t>
      </w:r>
    </w:p>
    <w:p w:rsidR="00DF5DE8" w:rsidRDefault="00005DBD" w:rsidP="00005DBD">
      <w:pPr>
        <w:pStyle w:val="TdocHeader2"/>
        <w:jc w:val="left"/>
        <w:rPr>
          <w:sz w:val="20"/>
          <w:lang w:val="en-US"/>
        </w:rPr>
      </w:pPr>
      <w:r w:rsidRPr="00226CA3">
        <w:rPr>
          <w:sz w:val="20"/>
          <w:lang w:val="en-US"/>
        </w:rPr>
        <w:t>Title:</w:t>
      </w:r>
      <w:bookmarkStart w:id="2" w:name="Title"/>
      <w:bookmarkEnd w:id="2"/>
      <w:r w:rsidRPr="00226CA3">
        <w:rPr>
          <w:sz w:val="20"/>
          <w:lang w:val="en-US"/>
        </w:rPr>
        <w:tab/>
      </w:r>
      <w:r w:rsidR="00DF5DE8" w:rsidRPr="00DF5DE8">
        <w:rPr>
          <w:sz w:val="20"/>
          <w:lang w:val="en-US"/>
        </w:rPr>
        <w:t>Modifications proposed to Support for V2V services based on LTE sidelink</w:t>
      </w:r>
    </w:p>
    <w:p w:rsidR="00005DBD" w:rsidRPr="00744368" w:rsidRDefault="00005DBD" w:rsidP="00005DBD">
      <w:pPr>
        <w:pStyle w:val="TdocHeader2"/>
        <w:jc w:val="left"/>
        <w:rPr>
          <w:sz w:val="20"/>
          <w:lang w:val="en-US"/>
        </w:rPr>
      </w:pPr>
      <w:r w:rsidRPr="00744368">
        <w:rPr>
          <w:sz w:val="20"/>
          <w:lang w:val="en-US"/>
        </w:rPr>
        <w:t>Agenda Item:</w:t>
      </w:r>
      <w:r w:rsidRPr="00744368">
        <w:rPr>
          <w:sz w:val="20"/>
          <w:lang w:val="en-US"/>
        </w:rPr>
        <w:tab/>
      </w:r>
      <w:r w:rsidR="00497D87">
        <w:rPr>
          <w:sz w:val="20"/>
          <w:lang w:val="en-US"/>
        </w:rPr>
        <w:t>10.2.2</w:t>
      </w:r>
    </w:p>
    <w:p w:rsidR="00005DBD" w:rsidRPr="007F1723" w:rsidRDefault="00005DBD" w:rsidP="00005DBD">
      <w:pPr>
        <w:pStyle w:val="TdocHeader2"/>
        <w:jc w:val="left"/>
        <w:rPr>
          <w:sz w:val="20"/>
          <w:lang w:val="en-US"/>
        </w:rPr>
      </w:pPr>
      <w:r w:rsidRPr="00744368">
        <w:rPr>
          <w:sz w:val="20"/>
          <w:lang w:val="en-US"/>
        </w:rPr>
        <w:t>Document for:</w:t>
      </w:r>
      <w:r w:rsidRPr="00744368">
        <w:rPr>
          <w:sz w:val="20"/>
          <w:lang w:val="en-US"/>
        </w:rPr>
        <w:tab/>
      </w:r>
      <w:r w:rsidR="000548D3" w:rsidRPr="00497D87">
        <w:rPr>
          <w:sz w:val="20"/>
          <w:lang w:val="en-US"/>
        </w:rPr>
        <w:t>Approval</w:t>
      </w:r>
    </w:p>
    <w:bookmarkEnd w:id="0"/>
    <w:bookmarkEnd w:id="1"/>
    <w:p w:rsidR="00613DA8" w:rsidRDefault="00613DA8" w:rsidP="00613DA8"/>
    <w:p w:rsidR="000548D3" w:rsidRDefault="000548D3" w:rsidP="000548D3">
      <w:pPr>
        <w:pStyle w:val="Heading1"/>
      </w:pPr>
      <w:r>
        <w:t>Discussion</w:t>
      </w:r>
    </w:p>
    <w:p w:rsidR="00C328BE" w:rsidRDefault="000548D3" w:rsidP="000548D3">
      <w:r>
        <w:t xml:space="preserve">ITS spectrum is currently being discussed in various standardization fora in Europe and other regions. In Europe, </w:t>
      </w:r>
      <w:r w:rsidR="00D92E3F">
        <w:t xml:space="preserve">several </w:t>
      </w:r>
      <w:r>
        <w:t xml:space="preserve">10MHz channels are currently </w:t>
      </w:r>
      <w:r w:rsidR="00C328BE">
        <w:t>designated</w:t>
      </w:r>
      <w:r>
        <w:t xml:space="preserve"> for ITS </w:t>
      </w:r>
      <w:r w:rsidR="00FE4170">
        <w:t>s</w:t>
      </w:r>
      <w:r w:rsidR="00C328BE">
        <w:t xml:space="preserve">afety-related </w:t>
      </w:r>
      <w:r>
        <w:t>services in the 58</w:t>
      </w:r>
      <w:r w:rsidR="00C328BE">
        <w:t>7</w:t>
      </w:r>
      <w:r>
        <w:t>5-59</w:t>
      </w:r>
      <w:r w:rsidR="00C328BE">
        <w:t>0</w:t>
      </w:r>
      <w:r w:rsidR="00DF5DE8">
        <w:t>5 MHz band.</w:t>
      </w:r>
      <w:r>
        <w:t xml:space="preserve"> </w:t>
      </w:r>
      <w:r w:rsidR="00C328BE">
        <w:t>In addition, 5905-5925</w:t>
      </w:r>
      <w:r w:rsidR="00007FD6">
        <w:t> </w:t>
      </w:r>
      <w:r w:rsidR="00C328BE">
        <w:t xml:space="preserve">MHz is identified </w:t>
      </w:r>
      <w:r w:rsidR="00C328BE" w:rsidRPr="001F4A79">
        <w:t xml:space="preserve">in ECC </w:t>
      </w:r>
      <w:r w:rsidR="00007FD6" w:rsidRPr="001F4A79">
        <w:t>Decision (</w:t>
      </w:r>
      <w:r w:rsidR="00C328BE" w:rsidRPr="001F4A79">
        <w:t>08)01</w:t>
      </w:r>
      <w:r w:rsidR="00C328BE" w:rsidRPr="00C328BE">
        <w:t xml:space="preserve"> </w:t>
      </w:r>
      <w:r w:rsidR="00C328BE" w:rsidRPr="001F4A79">
        <w:t xml:space="preserve">as potential extension band for </w:t>
      </w:r>
      <w:proofErr w:type="gramStart"/>
      <w:r w:rsidR="00C328BE" w:rsidRPr="001F4A79">
        <w:t>ITS</w:t>
      </w:r>
      <w:proofErr w:type="gramEnd"/>
      <w:r w:rsidR="00C328BE">
        <w:t xml:space="preserve"> and 5855-5875 MHz </w:t>
      </w:r>
      <w:r w:rsidR="00C328BE" w:rsidRPr="001F4A79">
        <w:t>is recommended to be made available for ITS non-safety related applications through ECC Recommendation (08)01</w:t>
      </w:r>
      <w:r w:rsidR="00DF5DE8">
        <w:t>.</w:t>
      </w:r>
      <w:r w:rsidR="00C328BE">
        <w:t xml:space="preserve"> </w:t>
      </w:r>
      <w:r>
        <w:t>ITS services are expected to be primary services deployed on such spectrum</w:t>
      </w:r>
      <w:r w:rsidR="00ED6DDB">
        <w:t xml:space="preserve">. </w:t>
      </w:r>
      <w:r w:rsidR="00C328BE">
        <w:t xml:space="preserve">WG SE24 is also carrying out </w:t>
      </w:r>
      <w:r w:rsidR="00DF5DE8">
        <w:t>c</w:t>
      </w:r>
      <w:r w:rsidR="00C328BE" w:rsidRPr="00FE4170">
        <w:t>ompatibility and sharing studies related to WAS/RLAN in the 5350-5470 MHz and 5725-5925 MHz bands and tasked ETSI BRAN to study compatibility between non-ITS and ITS systems</w:t>
      </w:r>
      <w:r w:rsidR="00887AE7">
        <w:t xml:space="preserve"> [</w:t>
      </w:r>
      <w:r w:rsidR="003A5494">
        <w:t>1</w:t>
      </w:r>
      <w:r w:rsidR="0086371E">
        <w:t xml:space="preserve">].  </w:t>
      </w:r>
    </w:p>
    <w:p w:rsidR="000548D3" w:rsidRDefault="000548D3" w:rsidP="000548D3">
      <w:r>
        <w:t>In the above context it is important</w:t>
      </w:r>
      <w:r w:rsidR="00C328BE">
        <w:t xml:space="preserve"> that ITS services are robust against interference and thus different ITS technologies should be able to co-exist with each other. At the same time, safety-ITS technologies should be </w:t>
      </w:r>
      <w:r>
        <w:t>prioritized</w:t>
      </w:r>
      <w:r w:rsidR="00C328BE">
        <w:t xml:space="preserve"> from any other usage o</w:t>
      </w:r>
      <w:r w:rsidR="00DF5DE8">
        <w:t>f</w:t>
      </w:r>
      <w:r w:rsidR="00C328BE">
        <w:t xml:space="preserve"> the band</w:t>
      </w:r>
      <w:r>
        <w:t>.</w:t>
      </w:r>
    </w:p>
    <w:p w:rsidR="000548D3" w:rsidRDefault="003A5494" w:rsidP="000548D3">
      <w:r>
        <w:t>The V2V WID [2</w:t>
      </w:r>
      <w:r w:rsidR="000548D3">
        <w:t>] “</w:t>
      </w:r>
      <w:r w:rsidR="000548D3" w:rsidRPr="008A3B35">
        <w:rPr>
          <w:i/>
          <w:lang w:eastAsia="ko-KR"/>
        </w:rPr>
        <w:t>The work item should cover V2V services both with and without LTE network coverage, and cover both the operating scenario where the carrier(s) is/are dedicated to V2V services and the operating scenario where the carrier(s) is/are licensed spectrum and als</w:t>
      </w:r>
      <w:r w:rsidR="000548D3">
        <w:rPr>
          <w:i/>
          <w:lang w:eastAsia="ko-KR"/>
        </w:rPr>
        <w:t>o used for normal LTE operation.</w:t>
      </w:r>
      <w:r w:rsidR="000548D3" w:rsidRPr="008A3B35">
        <w:rPr>
          <w:i/>
        </w:rPr>
        <w:t>”</w:t>
      </w:r>
      <w:r w:rsidR="000548D3">
        <w:rPr>
          <w:i/>
        </w:rPr>
        <w:t xml:space="preserve"> </w:t>
      </w:r>
      <w:r w:rsidR="000548D3">
        <w:t xml:space="preserve">does not include the case where the spectrum used for sidelink operation is shared with other </w:t>
      </w:r>
      <w:r w:rsidR="00C328BE">
        <w:t xml:space="preserve">ITS </w:t>
      </w:r>
      <w:r w:rsidR="000548D3">
        <w:t xml:space="preserve">access technologies, which </w:t>
      </w:r>
      <w:r w:rsidR="00DF5DE8">
        <w:t>in</w:t>
      </w:r>
      <w:r w:rsidR="00FE4170">
        <w:t xml:space="preserve"> practice may</w:t>
      </w:r>
      <w:r w:rsidR="000548D3">
        <w:t xml:space="preserve"> prevent LTE-ITS from being deployed in the European ITS bands under existing regulations.</w:t>
      </w:r>
    </w:p>
    <w:p w:rsidR="000548D3" w:rsidRDefault="000548D3" w:rsidP="000548D3">
      <w:r>
        <w:t xml:space="preserve">LTE-ITS can achieve improved performance and functionality compared to </w:t>
      </w:r>
      <w:r w:rsidR="00C328BE">
        <w:t xml:space="preserve">other </w:t>
      </w:r>
      <w:r>
        <w:t xml:space="preserve">ITS access technologies and it will thus be beneficial for ITS services if LTE-ITS-based access is allowed as an access technology candidate in the ITS bands also in Europe. To do so, a coexistence mechanism between IEEE 802.11p and LTE-ITS (sidelink) needs to be </w:t>
      </w:r>
      <w:r w:rsidR="00C328BE">
        <w:t xml:space="preserve">studied </w:t>
      </w:r>
      <w:r>
        <w:t>by 3GPP. We further observe that a coexistence mechanism is also needed for longer-term migration between different ITS access technologies.</w:t>
      </w:r>
    </w:p>
    <w:p w:rsidR="000548D3" w:rsidRDefault="000548D3" w:rsidP="000548D3">
      <w:pPr>
        <w:numPr>
          <w:ilvl w:val="0"/>
          <w:numId w:val="40"/>
        </w:numPr>
        <w:overflowPunct w:val="0"/>
        <w:autoSpaceDE w:val="0"/>
        <w:autoSpaceDN w:val="0"/>
        <w:adjustRightInd w:val="0"/>
        <w:textAlignment w:val="baseline"/>
      </w:pPr>
      <w:r>
        <w:t>Coexistence between ITS systems (i.e., LTE-ITS and IEEE 802.11p)</w:t>
      </w:r>
    </w:p>
    <w:p w:rsidR="000548D3" w:rsidRDefault="000548D3" w:rsidP="000548D3">
      <w:pPr>
        <w:numPr>
          <w:ilvl w:val="1"/>
          <w:numId w:val="40"/>
        </w:numPr>
        <w:overflowPunct w:val="0"/>
        <w:autoSpaceDE w:val="0"/>
        <w:autoSpaceDN w:val="0"/>
        <w:adjustRightInd w:val="0"/>
        <w:textAlignment w:val="baseline"/>
      </w:pPr>
      <w:r>
        <w:t xml:space="preserve">The LTE-ITS access should effectively </w:t>
      </w:r>
      <w:proofErr w:type="spellStart"/>
      <w:r>
        <w:t>backoff</w:t>
      </w:r>
      <w:proofErr w:type="spellEnd"/>
      <w:r>
        <w:t xml:space="preserve"> on carriers that are being used by IEEE 802.11p users. </w:t>
      </w:r>
    </w:p>
    <w:p w:rsidR="000548D3" w:rsidRDefault="000548D3" w:rsidP="000548D3">
      <w:pPr>
        <w:numPr>
          <w:ilvl w:val="1"/>
          <w:numId w:val="40"/>
        </w:numPr>
        <w:overflowPunct w:val="0"/>
        <w:autoSpaceDE w:val="0"/>
        <w:autoSpaceDN w:val="0"/>
        <w:adjustRightInd w:val="0"/>
        <w:textAlignment w:val="baseline"/>
      </w:pPr>
      <w:r>
        <w:t xml:space="preserve">The IEEE 802.11p access should effectively </w:t>
      </w:r>
      <w:proofErr w:type="spellStart"/>
      <w:r>
        <w:t>backoff</w:t>
      </w:r>
      <w:proofErr w:type="spellEnd"/>
      <w:r>
        <w:t xml:space="preserve"> on carriers that a</w:t>
      </w:r>
      <w:r w:rsidR="00C32CD3">
        <w:t>re being used by LTE-ITS users.</w:t>
      </w:r>
      <w:r>
        <w:t xml:space="preserve"> </w:t>
      </w:r>
    </w:p>
    <w:p w:rsidR="000548D3" w:rsidRDefault="000548D3" w:rsidP="000548D3">
      <w:pPr>
        <w:numPr>
          <w:ilvl w:val="0"/>
          <w:numId w:val="40"/>
        </w:numPr>
        <w:overflowPunct w:val="0"/>
        <w:autoSpaceDE w:val="0"/>
        <w:autoSpaceDN w:val="0"/>
        <w:adjustRightInd w:val="0"/>
        <w:textAlignment w:val="baseline"/>
      </w:pPr>
      <w:r>
        <w:t>Coexistence between ITS systems (i.e., LTE-ITS and IEEE 802.11p) and non-ITS systems (e.g., LTE LAA, IEEE RLAN)</w:t>
      </w:r>
    </w:p>
    <w:p w:rsidR="000548D3" w:rsidRDefault="000548D3" w:rsidP="000548D3">
      <w:pPr>
        <w:numPr>
          <w:ilvl w:val="1"/>
          <w:numId w:val="40"/>
        </w:numPr>
        <w:overflowPunct w:val="0"/>
        <w:autoSpaceDE w:val="0"/>
        <w:autoSpaceDN w:val="0"/>
        <w:adjustRightInd w:val="0"/>
        <w:textAlignment w:val="baseline"/>
      </w:pPr>
      <w:r>
        <w:t xml:space="preserve">The ITS access should not </w:t>
      </w:r>
      <w:proofErr w:type="spellStart"/>
      <w:r>
        <w:t>backoff</w:t>
      </w:r>
      <w:proofErr w:type="spellEnd"/>
      <w:r>
        <w:t xml:space="preserve"> on carriers that are being used by non-ITS users. </w:t>
      </w:r>
    </w:p>
    <w:p w:rsidR="000548D3" w:rsidRDefault="000548D3" w:rsidP="000548D3">
      <w:pPr>
        <w:numPr>
          <w:ilvl w:val="1"/>
          <w:numId w:val="40"/>
        </w:numPr>
        <w:overflowPunct w:val="0"/>
        <w:autoSpaceDE w:val="0"/>
        <w:autoSpaceDN w:val="0"/>
        <w:adjustRightInd w:val="0"/>
        <w:textAlignment w:val="baseline"/>
      </w:pPr>
      <w:r>
        <w:t xml:space="preserve">The non-ITS access should effectively </w:t>
      </w:r>
      <w:proofErr w:type="spellStart"/>
      <w:r>
        <w:t>backoff</w:t>
      </w:r>
      <w:proofErr w:type="spellEnd"/>
      <w:r>
        <w:t xml:space="preserve"> on carriers that are being used by ITS users. The LTE-ITS access should enable means for effective detection by non-ITS users in order to </w:t>
      </w:r>
      <w:proofErr w:type="spellStart"/>
      <w:r>
        <w:t>backoff</w:t>
      </w:r>
      <w:proofErr w:type="spellEnd"/>
      <w:r>
        <w:t xml:space="preserve">. </w:t>
      </w:r>
    </w:p>
    <w:p w:rsidR="000548D3" w:rsidRDefault="000548D3" w:rsidP="000548D3">
      <w:r>
        <w:t>We observe that the purpose of the coexistence mechanism described above is to split channels between IEEE 802.11p and LTE-</w:t>
      </w:r>
      <w:proofErr w:type="gramStart"/>
      <w:r>
        <w:t>ITS</w:t>
      </w:r>
      <w:proofErr w:type="gramEnd"/>
      <w:r>
        <w:t xml:space="preserve"> rather than TTI-level co</w:t>
      </w:r>
      <w:r w:rsidR="005C5E79">
        <w:t>-</w:t>
      </w:r>
      <w:r>
        <w:t xml:space="preserve">channel coexistence, which wouldn’t fit well the LTE-ITS frame structure. </w:t>
      </w:r>
    </w:p>
    <w:p w:rsidR="000548D3" w:rsidRDefault="000548D3" w:rsidP="000548D3">
      <w:r>
        <w:t xml:space="preserve">We </w:t>
      </w:r>
      <w:r w:rsidR="005C5E79">
        <w:t>also note</w:t>
      </w:r>
      <w:r>
        <w:t xml:space="preserve"> that means to enable </w:t>
      </w:r>
      <w:proofErr w:type="spellStart"/>
      <w:r>
        <w:t>backoff</w:t>
      </w:r>
      <w:proofErr w:type="spellEnd"/>
      <w:r>
        <w:t xml:space="preserve"> by LTE LAA in the 5855-5925 MHz band may be discussed in future enhancements to the LTE LAA specifications and are not part of the proposal below.</w:t>
      </w:r>
    </w:p>
    <w:p w:rsidR="000548D3" w:rsidRDefault="000548D3" w:rsidP="000548D3"/>
    <w:p w:rsidR="000548D3" w:rsidRDefault="000548D3" w:rsidP="000548D3">
      <w:pPr>
        <w:pStyle w:val="Heading1"/>
      </w:pPr>
      <w:r>
        <w:t>Proposal</w:t>
      </w:r>
    </w:p>
    <w:p w:rsidR="000548D3" w:rsidRDefault="000548D3" w:rsidP="000548D3">
      <w:r>
        <w:t xml:space="preserve">We suggest </w:t>
      </w:r>
      <w:r w:rsidR="003A5494">
        <w:t>including the following in the WID [2</w:t>
      </w:r>
      <w:r>
        <w:t>] as part of the objectives:</w:t>
      </w:r>
    </w:p>
    <w:p w:rsidR="000548D3" w:rsidRDefault="000548D3" w:rsidP="000548D3">
      <w:pPr>
        <w:numPr>
          <w:ilvl w:val="0"/>
          <w:numId w:val="39"/>
        </w:numPr>
        <w:overflowPunct w:val="0"/>
        <w:autoSpaceDE w:val="0"/>
        <w:autoSpaceDN w:val="0"/>
        <w:adjustRightInd w:val="0"/>
        <w:textAlignment w:val="baseline"/>
      </w:pPr>
      <w:r>
        <w:t>Specify a co-channel co-existence mechanism between LTE-IT</w:t>
      </w:r>
      <w:r w:rsidR="00D35DCB">
        <w:t>S and IEEE 802.11p [RAN1, RAN4]</w:t>
      </w:r>
      <w:bookmarkStart w:id="3" w:name="_GoBack"/>
      <w:bookmarkEnd w:id="3"/>
      <w:r>
        <w:t xml:space="preserve"> </w:t>
      </w:r>
    </w:p>
    <w:p w:rsidR="000548D3" w:rsidRPr="00FE4170" w:rsidRDefault="000548D3" w:rsidP="000548D3">
      <w:pPr>
        <w:numPr>
          <w:ilvl w:val="0"/>
          <w:numId w:val="39"/>
        </w:numPr>
        <w:overflowPunct w:val="0"/>
        <w:autoSpaceDE w:val="0"/>
        <w:autoSpaceDN w:val="0"/>
        <w:adjustRightInd w:val="0"/>
        <w:textAlignment w:val="baseline"/>
      </w:pPr>
      <w:r>
        <w:t>Study</w:t>
      </w:r>
      <w:r w:rsidR="00B02BB6">
        <w:rPr>
          <w:rFonts w:ascii="Qualcomm Office Regular" w:eastAsiaTheme="minorEastAsia" w:hAnsi="Qualcomm Office Regular" w:cstheme="minorBidi"/>
          <w:color w:val="404040"/>
          <w:kern w:val="24"/>
          <w:sz w:val="48"/>
          <w:szCs w:val="48"/>
          <w:lang w:val="en-US"/>
        </w:rPr>
        <w:t xml:space="preserve"> </w:t>
      </w:r>
      <w:r w:rsidRPr="00B92539">
        <w:rPr>
          <w:rFonts w:eastAsia="Times New Roman"/>
          <w:lang w:val="en-US"/>
        </w:rPr>
        <w:t xml:space="preserve">adjacent channel coexistence </w:t>
      </w:r>
      <w:r>
        <w:rPr>
          <w:lang w:val="en-US"/>
        </w:rPr>
        <w:t>between LTE-ITS and IEEE 802.11p [RAN4]</w:t>
      </w:r>
    </w:p>
    <w:p w:rsidR="005C5E79" w:rsidRDefault="005C5E79" w:rsidP="00FE4170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proofErr w:type="gramStart"/>
      <w:r>
        <w:rPr>
          <w:lang w:val="en-US"/>
        </w:rPr>
        <w:t>And a note stating that</w:t>
      </w:r>
      <w:r w:rsidR="00B02BB6">
        <w:rPr>
          <w:lang w:val="en-US"/>
        </w:rPr>
        <w:t>:</w:t>
      </w:r>
      <w:proofErr w:type="gramEnd"/>
    </w:p>
    <w:p w:rsidR="005C5E79" w:rsidRDefault="005C5E79" w:rsidP="00FE4170">
      <w:pPr>
        <w:overflowPunct w:val="0"/>
        <w:autoSpaceDE w:val="0"/>
        <w:autoSpaceDN w:val="0"/>
        <w:adjustRightInd w:val="0"/>
        <w:textAlignment w:val="baseline"/>
      </w:pPr>
      <w:r>
        <w:rPr>
          <w:lang w:val="en-US"/>
        </w:rPr>
        <w:lastRenderedPageBreak/>
        <w:t>B</w:t>
      </w:r>
      <w:proofErr w:type="spellStart"/>
      <w:r>
        <w:t>ackoff</w:t>
      </w:r>
      <w:proofErr w:type="spellEnd"/>
      <w:r>
        <w:t xml:space="preserve"> by LTE LAA in the ITS band may be discussed in future enhancements to the LTE LAA specifications and are not part of the current WI.</w:t>
      </w:r>
    </w:p>
    <w:p w:rsidR="000548D3" w:rsidRDefault="000548D3" w:rsidP="000548D3">
      <w:pPr>
        <w:pStyle w:val="Heading1"/>
      </w:pPr>
      <w:r>
        <w:t>References</w:t>
      </w:r>
    </w:p>
    <w:p w:rsidR="003A5494" w:rsidRDefault="003A5494" w:rsidP="003A5494">
      <w:r>
        <w:t>[1</w:t>
      </w:r>
      <w:r w:rsidRPr="00497D87">
        <w:t>] TR 103 319, “Mitigation techniques to enable sharing between RLANs and Road Tolling and Intelligent Transport systems in the 5 725 MHz to 5 925 MHz band”</w:t>
      </w:r>
    </w:p>
    <w:p w:rsidR="000548D3" w:rsidRPr="00497D87" w:rsidRDefault="003A5494" w:rsidP="003A5494">
      <w:r>
        <w:t>[2</w:t>
      </w:r>
      <w:r w:rsidR="000548D3" w:rsidRPr="000548D3">
        <w:t xml:space="preserve">] RP-152293, </w:t>
      </w:r>
      <w:r w:rsidR="000548D3" w:rsidRPr="00497D87">
        <w:t>New WI proposal: Support for V2V services based on LTE sidelink, LG Electronics, Huawei, HiSilicon, CATT, CATR</w:t>
      </w:r>
    </w:p>
    <w:p w:rsidR="000548D3" w:rsidRPr="004C11F7" w:rsidRDefault="000548D3" w:rsidP="00613DA8"/>
    <w:sectPr w:rsidR="000548D3" w:rsidRPr="004C11F7" w:rsidSect="004B31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2AE" w:rsidRDefault="009B72AE">
      <w:r>
        <w:separator/>
      </w:r>
    </w:p>
  </w:endnote>
  <w:endnote w:type="continuationSeparator" w:id="0">
    <w:p w:rsidR="009B72AE" w:rsidRDefault="009B7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Qualcomm Office 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2AE" w:rsidRDefault="009B72AE">
      <w:r>
        <w:separator/>
      </w:r>
    </w:p>
  </w:footnote>
  <w:footnote w:type="continuationSeparator" w:id="0">
    <w:p w:rsidR="009B72AE" w:rsidRDefault="009B72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0F50B4"/>
    <w:multiLevelType w:val="hybridMultilevel"/>
    <w:tmpl w:val="93E8A1BA"/>
    <w:lvl w:ilvl="0" w:tplc="B62C663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D9388D"/>
    <w:multiLevelType w:val="hybridMultilevel"/>
    <w:tmpl w:val="6D106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85281"/>
    <w:multiLevelType w:val="hybridMultilevel"/>
    <w:tmpl w:val="502E5306"/>
    <w:lvl w:ilvl="0" w:tplc="79D68E5E">
      <w:start w:val="1"/>
      <w:numFmt w:val="decimal"/>
      <w:lvlText w:val="Principle %1."/>
      <w:lvlJc w:val="left"/>
      <w:pPr>
        <w:ind w:left="720" w:hanging="360"/>
      </w:pPr>
      <w:rPr>
        <w:rFonts w:hint="default"/>
        <w:b/>
        <w:strike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  <w:strike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B05E3"/>
    <w:multiLevelType w:val="hybridMultilevel"/>
    <w:tmpl w:val="290C19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4F66C2"/>
    <w:multiLevelType w:val="hybridMultilevel"/>
    <w:tmpl w:val="73B2F5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7A1947"/>
    <w:multiLevelType w:val="hybridMultilevel"/>
    <w:tmpl w:val="B6EE4992"/>
    <w:lvl w:ilvl="0" w:tplc="B62C663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561715"/>
    <w:multiLevelType w:val="hybridMultilevel"/>
    <w:tmpl w:val="8996B1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386E4A"/>
    <w:multiLevelType w:val="hybridMultilevel"/>
    <w:tmpl w:val="CA1C33A8"/>
    <w:lvl w:ilvl="0" w:tplc="B62C663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E35AA7"/>
    <w:multiLevelType w:val="hybridMultilevel"/>
    <w:tmpl w:val="11BCD4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7FE57D7"/>
    <w:multiLevelType w:val="hybridMultilevel"/>
    <w:tmpl w:val="90CA3C72"/>
    <w:lvl w:ilvl="0" w:tplc="3B28DD66">
      <w:start w:val="6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>
    <w:nsid w:val="49074561"/>
    <w:multiLevelType w:val="hybridMultilevel"/>
    <w:tmpl w:val="928233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822667"/>
    <w:multiLevelType w:val="hybridMultilevel"/>
    <w:tmpl w:val="E864DF2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>
    <w:nsid w:val="540C16F1"/>
    <w:multiLevelType w:val="hybridMultilevel"/>
    <w:tmpl w:val="C5BA1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>
    <w:nsid w:val="5E2F0628"/>
    <w:multiLevelType w:val="hybridMultilevel"/>
    <w:tmpl w:val="A6C8B2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C61D76"/>
    <w:multiLevelType w:val="hybridMultilevel"/>
    <w:tmpl w:val="8A3EF3BE"/>
    <w:lvl w:ilvl="0" w:tplc="B62C6636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581547F"/>
    <w:multiLevelType w:val="hybridMultilevel"/>
    <w:tmpl w:val="2D325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165CA5"/>
    <w:multiLevelType w:val="hybridMultilevel"/>
    <w:tmpl w:val="D3A2845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2F56DB"/>
    <w:multiLevelType w:val="hybridMultilevel"/>
    <w:tmpl w:val="8CFC4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9103F9"/>
    <w:multiLevelType w:val="hybridMultilevel"/>
    <w:tmpl w:val="2AEE55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AC0E54"/>
    <w:multiLevelType w:val="hybridMultilevel"/>
    <w:tmpl w:val="170C7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A20FD5"/>
    <w:multiLevelType w:val="hybridMultilevel"/>
    <w:tmpl w:val="7B6C7C2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1A47F87"/>
    <w:multiLevelType w:val="hybridMultilevel"/>
    <w:tmpl w:val="6304159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1">
    <w:nsid w:val="7DB13834"/>
    <w:multiLevelType w:val="hybridMultilevel"/>
    <w:tmpl w:val="E1D2E520"/>
    <w:lvl w:ilvl="0" w:tplc="B62C663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9"/>
  </w:num>
  <w:num w:numId="3">
    <w:abstractNumId w:val="28"/>
  </w:num>
  <w:num w:numId="4">
    <w:abstractNumId w:val="12"/>
  </w:num>
  <w:num w:numId="5">
    <w:abstractNumId w:val="15"/>
  </w:num>
  <w:num w:numId="6">
    <w:abstractNumId w:val="30"/>
  </w:num>
  <w:num w:numId="7">
    <w:abstractNumId w:val="3"/>
  </w:num>
  <w:num w:numId="8">
    <w:abstractNumId w:val="2"/>
  </w:num>
  <w:num w:numId="9">
    <w:abstractNumId w:val="21"/>
  </w:num>
  <w:num w:numId="10">
    <w:abstractNumId w:val="11"/>
  </w:num>
  <w:num w:numId="11">
    <w:abstractNumId w:val="26"/>
  </w:num>
  <w:num w:numId="12">
    <w:abstractNumId w:val="13"/>
  </w:num>
  <w:num w:numId="13">
    <w:abstractNumId w:val="22"/>
  </w:num>
  <w:num w:numId="14">
    <w:abstractNumId w:val="27"/>
  </w:num>
  <w:num w:numId="15">
    <w:abstractNumId w:val="24"/>
  </w:num>
  <w:num w:numId="16">
    <w:abstractNumId w:val="8"/>
  </w:num>
  <w:num w:numId="17">
    <w:abstractNumId w:val="14"/>
  </w:num>
  <w:num w:numId="18">
    <w:abstractNumId w:val="28"/>
  </w:num>
  <w:num w:numId="19">
    <w:abstractNumId w:val="28"/>
  </w:num>
  <w:num w:numId="20">
    <w:abstractNumId w:val="28"/>
  </w:num>
  <w:num w:numId="21">
    <w:abstractNumId w:val="28"/>
  </w:num>
  <w:num w:numId="22">
    <w:abstractNumId w:val="20"/>
  </w:num>
  <w:num w:numId="23">
    <w:abstractNumId w:val="9"/>
  </w:num>
  <w:num w:numId="24">
    <w:abstractNumId w:val="25"/>
  </w:num>
  <w:num w:numId="25">
    <w:abstractNumId w:val="7"/>
  </w:num>
  <w:num w:numId="26">
    <w:abstractNumId w:val="1"/>
  </w:num>
  <w:num w:numId="27">
    <w:abstractNumId w:val="28"/>
  </w:num>
  <w:num w:numId="28">
    <w:abstractNumId w:val="31"/>
  </w:num>
  <w:num w:numId="29">
    <w:abstractNumId w:val="28"/>
  </w:num>
  <w:num w:numId="30">
    <w:abstractNumId w:val="28"/>
  </w:num>
  <w:num w:numId="31">
    <w:abstractNumId w:val="28"/>
  </w:num>
  <w:num w:numId="32">
    <w:abstractNumId w:val="28"/>
  </w:num>
  <w:num w:numId="33">
    <w:abstractNumId w:val="16"/>
  </w:num>
  <w:num w:numId="34">
    <w:abstractNumId w:val="23"/>
  </w:num>
  <w:num w:numId="35">
    <w:abstractNumId w:val="28"/>
  </w:num>
  <w:num w:numId="36">
    <w:abstractNumId w:val="19"/>
  </w:num>
  <w:num w:numId="37">
    <w:abstractNumId w:val="10"/>
  </w:num>
  <w:num w:numId="38">
    <w:abstractNumId w:val="17"/>
  </w:num>
  <w:num w:numId="39">
    <w:abstractNumId w:val="5"/>
  </w:num>
  <w:num w:numId="40">
    <w:abstractNumId w:val="6"/>
  </w:num>
  <w:num w:numId="4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07FD6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8FD"/>
    <w:rsid w:val="00050934"/>
    <w:rsid w:val="00051040"/>
    <w:rsid w:val="00051134"/>
    <w:rsid w:val="00051DA3"/>
    <w:rsid w:val="00052154"/>
    <w:rsid w:val="00052AE8"/>
    <w:rsid w:val="00052B1B"/>
    <w:rsid w:val="00053A2B"/>
    <w:rsid w:val="000544E2"/>
    <w:rsid w:val="00054511"/>
    <w:rsid w:val="00054580"/>
    <w:rsid w:val="000548CD"/>
    <w:rsid w:val="000548D3"/>
    <w:rsid w:val="0005497B"/>
    <w:rsid w:val="00054A5F"/>
    <w:rsid w:val="00054BAA"/>
    <w:rsid w:val="00054D3E"/>
    <w:rsid w:val="0005590A"/>
    <w:rsid w:val="00055C90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52BD"/>
    <w:rsid w:val="000658C8"/>
    <w:rsid w:val="00066208"/>
    <w:rsid w:val="000663D0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C26"/>
    <w:rsid w:val="00072FD3"/>
    <w:rsid w:val="00073226"/>
    <w:rsid w:val="00073504"/>
    <w:rsid w:val="00073630"/>
    <w:rsid w:val="000738BB"/>
    <w:rsid w:val="00074475"/>
    <w:rsid w:val="000745B0"/>
    <w:rsid w:val="000748B1"/>
    <w:rsid w:val="00074C22"/>
    <w:rsid w:val="0007590E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12E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D19"/>
    <w:rsid w:val="000B71FA"/>
    <w:rsid w:val="000B7636"/>
    <w:rsid w:val="000C091D"/>
    <w:rsid w:val="000C0DBA"/>
    <w:rsid w:val="000C185D"/>
    <w:rsid w:val="000C18F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A2"/>
    <w:rsid w:val="001367D7"/>
    <w:rsid w:val="001367EB"/>
    <w:rsid w:val="00136A69"/>
    <w:rsid w:val="00136A8B"/>
    <w:rsid w:val="00136C77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884"/>
    <w:rsid w:val="00185AB7"/>
    <w:rsid w:val="00185D53"/>
    <w:rsid w:val="00185F05"/>
    <w:rsid w:val="00186EE9"/>
    <w:rsid w:val="00187520"/>
    <w:rsid w:val="0018756D"/>
    <w:rsid w:val="0018758B"/>
    <w:rsid w:val="0019044D"/>
    <w:rsid w:val="00191B39"/>
    <w:rsid w:val="00191CC9"/>
    <w:rsid w:val="001926C7"/>
    <w:rsid w:val="00192F0D"/>
    <w:rsid w:val="00193550"/>
    <w:rsid w:val="00193802"/>
    <w:rsid w:val="00193D0E"/>
    <w:rsid w:val="00193D8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E1A"/>
    <w:rsid w:val="001E2151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CA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12C1"/>
    <w:rsid w:val="00251772"/>
    <w:rsid w:val="002518D7"/>
    <w:rsid w:val="00252076"/>
    <w:rsid w:val="00252127"/>
    <w:rsid w:val="002522A0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507"/>
    <w:rsid w:val="00283CB9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2172"/>
    <w:rsid w:val="002B2482"/>
    <w:rsid w:val="002B2636"/>
    <w:rsid w:val="002B264A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BD6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B09"/>
    <w:rsid w:val="003820B1"/>
    <w:rsid w:val="00382B4F"/>
    <w:rsid w:val="00382FBA"/>
    <w:rsid w:val="00383742"/>
    <w:rsid w:val="0038404A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494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7532"/>
    <w:rsid w:val="00407552"/>
    <w:rsid w:val="004077C5"/>
    <w:rsid w:val="0040781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731"/>
    <w:rsid w:val="00443B52"/>
    <w:rsid w:val="00444897"/>
    <w:rsid w:val="00444C8A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D0B"/>
    <w:rsid w:val="00497D87"/>
    <w:rsid w:val="00497DFA"/>
    <w:rsid w:val="004A006C"/>
    <w:rsid w:val="004A0472"/>
    <w:rsid w:val="004A065A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75E3"/>
    <w:rsid w:val="004C789E"/>
    <w:rsid w:val="004C78A5"/>
    <w:rsid w:val="004D0005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5298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B1B"/>
    <w:rsid w:val="004E3B49"/>
    <w:rsid w:val="004E424B"/>
    <w:rsid w:val="004E499E"/>
    <w:rsid w:val="004E5160"/>
    <w:rsid w:val="004E5369"/>
    <w:rsid w:val="004E540F"/>
    <w:rsid w:val="004E57E2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9B0"/>
    <w:rsid w:val="00514C6A"/>
    <w:rsid w:val="00514CC5"/>
    <w:rsid w:val="00514F3A"/>
    <w:rsid w:val="00516515"/>
    <w:rsid w:val="00516ABE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745"/>
    <w:rsid w:val="00536BD6"/>
    <w:rsid w:val="00536C75"/>
    <w:rsid w:val="00536D20"/>
    <w:rsid w:val="005373B2"/>
    <w:rsid w:val="005401A9"/>
    <w:rsid w:val="00540DF1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9E7"/>
    <w:rsid w:val="00591BCE"/>
    <w:rsid w:val="00591FCC"/>
    <w:rsid w:val="00592850"/>
    <w:rsid w:val="00592B95"/>
    <w:rsid w:val="00592D89"/>
    <w:rsid w:val="005939B1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E39"/>
    <w:rsid w:val="005B42D3"/>
    <w:rsid w:val="005B5339"/>
    <w:rsid w:val="005B56E7"/>
    <w:rsid w:val="005B5762"/>
    <w:rsid w:val="005B58C2"/>
    <w:rsid w:val="005B5F4C"/>
    <w:rsid w:val="005B6086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5E79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725"/>
    <w:rsid w:val="005D7923"/>
    <w:rsid w:val="005E01CB"/>
    <w:rsid w:val="005E0497"/>
    <w:rsid w:val="005E0532"/>
    <w:rsid w:val="005E0E7C"/>
    <w:rsid w:val="005E0E99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11A5"/>
    <w:rsid w:val="00621225"/>
    <w:rsid w:val="006212FD"/>
    <w:rsid w:val="006225A2"/>
    <w:rsid w:val="006225CA"/>
    <w:rsid w:val="00622A0B"/>
    <w:rsid w:val="00623FE0"/>
    <w:rsid w:val="00624C2B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C62"/>
    <w:rsid w:val="00660E41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80E"/>
    <w:rsid w:val="00684088"/>
    <w:rsid w:val="006844B3"/>
    <w:rsid w:val="00684A15"/>
    <w:rsid w:val="00684D41"/>
    <w:rsid w:val="006862F0"/>
    <w:rsid w:val="00686E94"/>
    <w:rsid w:val="00687483"/>
    <w:rsid w:val="0068754C"/>
    <w:rsid w:val="00687A7F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D41"/>
    <w:rsid w:val="006B707E"/>
    <w:rsid w:val="006B72FC"/>
    <w:rsid w:val="006B7371"/>
    <w:rsid w:val="006B7A80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4210"/>
    <w:rsid w:val="006E43F4"/>
    <w:rsid w:val="006E48A1"/>
    <w:rsid w:val="006E492B"/>
    <w:rsid w:val="006E4983"/>
    <w:rsid w:val="006E4A0B"/>
    <w:rsid w:val="006E4BC7"/>
    <w:rsid w:val="006E4CB7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602"/>
    <w:rsid w:val="00743B4C"/>
    <w:rsid w:val="00743D27"/>
    <w:rsid w:val="007441A0"/>
    <w:rsid w:val="00744368"/>
    <w:rsid w:val="007445F3"/>
    <w:rsid w:val="00744647"/>
    <w:rsid w:val="00745054"/>
    <w:rsid w:val="007450FC"/>
    <w:rsid w:val="00745EA1"/>
    <w:rsid w:val="00746340"/>
    <w:rsid w:val="007465C3"/>
    <w:rsid w:val="00746CEA"/>
    <w:rsid w:val="00746FDC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08D3"/>
    <w:rsid w:val="007612D2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F04"/>
    <w:rsid w:val="00773419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F9B"/>
    <w:rsid w:val="007E3057"/>
    <w:rsid w:val="007E3287"/>
    <w:rsid w:val="007E3E30"/>
    <w:rsid w:val="007E415C"/>
    <w:rsid w:val="007E460A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7B5F"/>
    <w:rsid w:val="0082089E"/>
    <w:rsid w:val="00820C32"/>
    <w:rsid w:val="00820D5F"/>
    <w:rsid w:val="00820E81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F27"/>
    <w:rsid w:val="00842FD0"/>
    <w:rsid w:val="0084318F"/>
    <w:rsid w:val="008431D9"/>
    <w:rsid w:val="00843212"/>
    <w:rsid w:val="008432D0"/>
    <w:rsid w:val="0084392D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3114"/>
    <w:rsid w:val="008633FD"/>
    <w:rsid w:val="0086354E"/>
    <w:rsid w:val="0086357B"/>
    <w:rsid w:val="0086371E"/>
    <w:rsid w:val="00863847"/>
    <w:rsid w:val="00863BA7"/>
    <w:rsid w:val="00864037"/>
    <w:rsid w:val="008640B3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87AE7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80B"/>
    <w:rsid w:val="00895FD5"/>
    <w:rsid w:val="0089600C"/>
    <w:rsid w:val="00896609"/>
    <w:rsid w:val="00896C5B"/>
    <w:rsid w:val="00896FE8"/>
    <w:rsid w:val="00897438"/>
    <w:rsid w:val="00897FF3"/>
    <w:rsid w:val="008A057A"/>
    <w:rsid w:val="008A065A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13EC"/>
    <w:rsid w:val="008D1581"/>
    <w:rsid w:val="008D1654"/>
    <w:rsid w:val="008D1809"/>
    <w:rsid w:val="008D1972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D3A"/>
    <w:rsid w:val="008F3053"/>
    <w:rsid w:val="008F3D84"/>
    <w:rsid w:val="008F3FA0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2289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666"/>
    <w:rsid w:val="0097595B"/>
    <w:rsid w:val="00975C0E"/>
    <w:rsid w:val="00975C6D"/>
    <w:rsid w:val="00975E60"/>
    <w:rsid w:val="00975F44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3F91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72AE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F0F"/>
    <w:rsid w:val="009D065E"/>
    <w:rsid w:val="009D1223"/>
    <w:rsid w:val="009D1587"/>
    <w:rsid w:val="009D1B35"/>
    <w:rsid w:val="009D1C31"/>
    <w:rsid w:val="009D1EAC"/>
    <w:rsid w:val="009D2006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947"/>
    <w:rsid w:val="009E1BC3"/>
    <w:rsid w:val="009E2091"/>
    <w:rsid w:val="009E267D"/>
    <w:rsid w:val="009E2D8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EE3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4B9"/>
    <w:rsid w:val="00A06643"/>
    <w:rsid w:val="00A06AF7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E1D"/>
    <w:rsid w:val="00A34F5C"/>
    <w:rsid w:val="00A34F64"/>
    <w:rsid w:val="00A3542A"/>
    <w:rsid w:val="00A367F7"/>
    <w:rsid w:val="00A3690E"/>
    <w:rsid w:val="00A3786B"/>
    <w:rsid w:val="00A37988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D76"/>
    <w:rsid w:val="00A55FDC"/>
    <w:rsid w:val="00A562AE"/>
    <w:rsid w:val="00A56FB9"/>
    <w:rsid w:val="00A5701B"/>
    <w:rsid w:val="00A57EA9"/>
    <w:rsid w:val="00A6011C"/>
    <w:rsid w:val="00A603A2"/>
    <w:rsid w:val="00A609FC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CE1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B75"/>
    <w:rsid w:val="00AB6EC1"/>
    <w:rsid w:val="00AB7147"/>
    <w:rsid w:val="00AB7426"/>
    <w:rsid w:val="00AB777B"/>
    <w:rsid w:val="00AB79E0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C4A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9A3"/>
    <w:rsid w:val="00B01EC6"/>
    <w:rsid w:val="00B01ECA"/>
    <w:rsid w:val="00B0211F"/>
    <w:rsid w:val="00B02611"/>
    <w:rsid w:val="00B02BB6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0CF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51A8"/>
    <w:rsid w:val="00BE5291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22E7"/>
    <w:rsid w:val="00C3264B"/>
    <w:rsid w:val="00C3287A"/>
    <w:rsid w:val="00C328BE"/>
    <w:rsid w:val="00C32CD3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8E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811"/>
    <w:rsid w:val="00CB6E0A"/>
    <w:rsid w:val="00CB6F1C"/>
    <w:rsid w:val="00CB7882"/>
    <w:rsid w:val="00CB7A9D"/>
    <w:rsid w:val="00CB7C9B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5DCB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2E3F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5A38"/>
    <w:rsid w:val="00D96B7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16F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406C"/>
    <w:rsid w:val="00DC4112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515B"/>
    <w:rsid w:val="00DE5D20"/>
    <w:rsid w:val="00DE5D43"/>
    <w:rsid w:val="00DE6050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5DE8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8B1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464"/>
    <w:rsid w:val="00E5663C"/>
    <w:rsid w:val="00E566F2"/>
    <w:rsid w:val="00E56DB8"/>
    <w:rsid w:val="00E57BB3"/>
    <w:rsid w:val="00E60990"/>
    <w:rsid w:val="00E60A3C"/>
    <w:rsid w:val="00E60DEC"/>
    <w:rsid w:val="00E6132B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D0"/>
    <w:rsid w:val="00E9202E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DDB"/>
    <w:rsid w:val="00ED6F58"/>
    <w:rsid w:val="00ED7047"/>
    <w:rsid w:val="00ED709A"/>
    <w:rsid w:val="00ED7B9B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DF7"/>
    <w:rsid w:val="00F96BB9"/>
    <w:rsid w:val="00F96ED7"/>
    <w:rsid w:val="00F972AA"/>
    <w:rsid w:val="00F974FB"/>
    <w:rsid w:val="00FA0599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733"/>
    <w:rsid w:val="00FC19BA"/>
    <w:rsid w:val="00FC1CAD"/>
    <w:rsid w:val="00FC20F9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170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paragraph" w:customStyle="1" w:styleId="ECCBulletsLv1">
    <w:name w:val="ECC Bullets Lv1"/>
    <w:basedOn w:val="Normal"/>
    <w:qFormat/>
    <w:rsid w:val="00C328BE"/>
    <w:pPr>
      <w:numPr>
        <w:numId w:val="41"/>
      </w:numPr>
      <w:tabs>
        <w:tab w:val="left" w:pos="340"/>
      </w:tabs>
      <w:spacing w:before="60" w:after="0"/>
      <w:ind w:left="340" w:hanging="340"/>
      <w:jc w:val="both"/>
    </w:pPr>
    <w:rPr>
      <w:rFonts w:ascii="Arial" w:eastAsia="Calibri" w:hAnsi="Arial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paragraph" w:customStyle="1" w:styleId="ECCBulletsLv1">
    <w:name w:val="ECC Bullets Lv1"/>
    <w:basedOn w:val="Normal"/>
    <w:qFormat/>
    <w:rsid w:val="00C328BE"/>
    <w:pPr>
      <w:numPr>
        <w:numId w:val="41"/>
      </w:numPr>
      <w:tabs>
        <w:tab w:val="left" w:pos="340"/>
      </w:tabs>
      <w:spacing w:before="60" w:after="0"/>
      <w:ind w:left="340" w:hanging="340"/>
      <w:jc w:val="both"/>
    </w:pPr>
    <w:rPr>
      <w:rFonts w:ascii="Arial" w:eastAsia="Calibri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2016-03-01T15:41:00Z</dcterms:created>
  <dcterms:modified xsi:type="dcterms:W3CDTF">2016-03-02T10:28:00Z</dcterms:modified>
</cp:coreProperties>
</file>